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24CC" w14:textId="77777777" w:rsidR="008F3E48" w:rsidRDefault="008F3E48" w:rsidP="00511E0F">
      <w:pPr>
        <w:spacing w:line="276" w:lineRule="auto"/>
        <w:jc w:val="center"/>
        <w:outlineLvl w:val="0"/>
        <w:rPr>
          <w:b/>
          <w:color w:val="auto"/>
          <w:sz w:val="24"/>
          <w:szCs w:val="24"/>
          <w:lang w:eastAsia="en-US"/>
        </w:rPr>
      </w:pPr>
    </w:p>
    <w:p w14:paraId="73FF614A" w14:textId="77777777" w:rsidR="006A7ED2" w:rsidRPr="00BB3F78" w:rsidRDefault="006A7ED2" w:rsidP="006A7ED2">
      <w:pPr>
        <w:spacing w:line="276" w:lineRule="auto"/>
        <w:jc w:val="center"/>
        <w:outlineLvl w:val="0"/>
        <w:rPr>
          <w:b/>
          <w:color w:val="auto"/>
          <w:sz w:val="24"/>
          <w:szCs w:val="24"/>
          <w:lang w:eastAsia="en-US"/>
        </w:rPr>
      </w:pPr>
      <w:r w:rsidRPr="00BB3F78">
        <w:rPr>
          <w:b/>
          <w:color w:val="auto"/>
          <w:sz w:val="24"/>
          <w:szCs w:val="24"/>
          <w:lang w:eastAsia="en-US"/>
        </w:rPr>
        <w:t xml:space="preserve">ТЕХНИЧЕСКОЕ ЗАДАНИЕ </w:t>
      </w:r>
    </w:p>
    <w:p w14:paraId="27444028" w14:textId="77777777" w:rsidR="006A7ED2" w:rsidRPr="00BB3F78" w:rsidRDefault="006A7ED2" w:rsidP="006A7ED2">
      <w:pPr>
        <w:spacing w:line="276" w:lineRule="auto"/>
        <w:jc w:val="center"/>
        <w:outlineLvl w:val="0"/>
        <w:rPr>
          <w:b/>
          <w:color w:val="auto"/>
          <w:sz w:val="24"/>
          <w:szCs w:val="24"/>
          <w:lang w:eastAsia="en-US"/>
        </w:rPr>
      </w:pPr>
      <w:r w:rsidRPr="00BB3F78">
        <w:rPr>
          <w:b/>
          <w:color w:val="auto"/>
          <w:sz w:val="24"/>
          <w:szCs w:val="24"/>
          <w:lang w:eastAsia="en-US"/>
        </w:rPr>
        <w:t>к закупке №</w:t>
      </w:r>
      <w:r w:rsidRPr="00BB3F78">
        <w:rPr>
          <w:color w:val="auto"/>
        </w:rPr>
        <w:t xml:space="preserve"> </w:t>
      </w:r>
      <w:r w:rsidRPr="00BB3F78">
        <w:rPr>
          <w:b/>
          <w:color w:val="auto"/>
          <w:sz w:val="24"/>
          <w:szCs w:val="24"/>
          <w:lang w:eastAsia="en-US"/>
        </w:rPr>
        <w:t>ЦСКК-1-25</w:t>
      </w:r>
    </w:p>
    <w:p w14:paraId="005E0425" w14:textId="77777777" w:rsidR="006A7ED2" w:rsidRPr="00BB3F78" w:rsidRDefault="006A7ED2" w:rsidP="006A7ED2">
      <w:pPr>
        <w:spacing w:line="276" w:lineRule="auto"/>
        <w:jc w:val="center"/>
        <w:outlineLvl w:val="0"/>
        <w:rPr>
          <w:b/>
          <w:color w:val="auto"/>
          <w:sz w:val="24"/>
          <w:szCs w:val="24"/>
        </w:rPr>
      </w:pPr>
      <w:bookmarkStart w:id="0" w:name="_Hlk98489475"/>
      <w:r w:rsidRPr="00BB3F78">
        <w:rPr>
          <w:b/>
          <w:color w:val="auto"/>
          <w:sz w:val="24"/>
          <w:szCs w:val="24"/>
        </w:rPr>
        <w:t xml:space="preserve">на </w:t>
      </w:r>
      <w:bookmarkEnd w:id="0"/>
      <w:r w:rsidRPr="00BB3F78">
        <w:rPr>
          <w:b/>
          <w:color w:val="auto"/>
          <w:sz w:val="24"/>
          <w:szCs w:val="24"/>
        </w:rPr>
        <w:t>«Выполнение работ по разработке проектно-сметной документации и капитальному ремонту  объекта:  «Капитальный ремонт нежилых помещений, расположенных по адресу: г. Кемерово, ул. Терешковой, 18, пом. 433 и 438»</w:t>
      </w:r>
    </w:p>
    <w:p w14:paraId="31D1A91A" w14:textId="77777777" w:rsidR="006A7ED2" w:rsidRPr="00BB3F78" w:rsidRDefault="006A7ED2" w:rsidP="006A7ED2">
      <w:pPr>
        <w:spacing w:line="276" w:lineRule="auto"/>
        <w:jc w:val="center"/>
        <w:outlineLvl w:val="0"/>
        <w:rPr>
          <w:color w:val="auto"/>
          <w:szCs w:val="22"/>
        </w:rPr>
      </w:pPr>
    </w:p>
    <w:p w14:paraId="535123F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Предусматривается капитальный ремонт офисных помещений в офисном здании.</w:t>
      </w:r>
    </w:p>
    <w:p w14:paraId="6ADE6518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Место нахождения Объекта (место выполнения работы): 650023, Кемеровская область-Кузбасс, г. Кемерово, ул. Терешковой, д. 18.</w:t>
      </w:r>
    </w:p>
    <w:p w14:paraId="70D92ECB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Работы по капитальному ремонту офисных помещений должны быть выполнены в соответствии с рабочей документацией, документацией о </w:t>
      </w:r>
      <w:r>
        <w:rPr>
          <w:color w:val="auto"/>
          <w:sz w:val="24"/>
          <w:szCs w:val="24"/>
          <w:lang w:eastAsia="zh-CN"/>
        </w:rPr>
        <w:t>закупке</w:t>
      </w:r>
      <w:r w:rsidRPr="00BB3F78">
        <w:rPr>
          <w:color w:val="auto"/>
          <w:sz w:val="24"/>
          <w:szCs w:val="24"/>
          <w:lang w:eastAsia="zh-CN"/>
        </w:rPr>
        <w:t xml:space="preserve"> и требованиями настоящего Технического задания</w:t>
      </w:r>
      <w:r>
        <w:rPr>
          <w:color w:val="auto"/>
          <w:sz w:val="24"/>
          <w:szCs w:val="24"/>
          <w:lang w:eastAsia="zh-CN"/>
        </w:rPr>
        <w:t>.</w:t>
      </w:r>
    </w:p>
    <w:p w14:paraId="56E5234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FF0000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Срок выполнения работ: </w:t>
      </w:r>
      <w:r w:rsidRPr="00E538EC">
        <w:rPr>
          <w:color w:val="auto"/>
          <w:sz w:val="24"/>
          <w:szCs w:val="24"/>
          <w:lang w:eastAsia="zh-CN"/>
        </w:rPr>
        <w:t>с даты заключения Договора до 30.05.2026 года (включительно) в соответствии с Графиком исполнения Договора на выполнение работ проектированию и капитальному ремонту объекта (Приложение № 3 к Договору)</w:t>
      </w:r>
      <w:r>
        <w:rPr>
          <w:color w:val="auto"/>
          <w:sz w:val="24"/>
          <w:szCs w:val="24"/>
          <w:lang w:eastAsia="zh-CN"/>
        </w:rPr>
        <w:t xml:space="preserve"> </w:t>
      </w:r>
      <w:r w:rsidRPr="00BB3F78">
        <w:rPr>
          <w:color w:val="auto"/>
          <w:sz w:val="24"/>
          <w:szCs w:val="24"/>
          <w:lang w:eastAsia="zh-CN"/>
        </w:rPr>
        <w:t>поэтапно.</w:t>
      </w:r>
    </w:p>
    <w:p w14:paraId="2F87F6B3" w14:textId="77777777" w:rsidR="006A7ED2" w:rsidRPr="00BB3F78" w:rsidRDefault="006A7ED2" w:rsidP="006A7ED2">
      <w:pPr>
        <w:tabs>
          <w:tab w:val="clear" w:pos="708"/>
        </w:tabs>
        <w:ind w:firstLine="567"/>
        <w:rPr>
          <w:b/>
          <w:bCs/>
          <w:color w:val="auto"/>
          <w:sz w:val="28"/>
          <w:szCs w:val="28"/>
        </w:rPr>
      </w:pPr>
    </w:p>
    <w:p w14:paraId="0E0FED93" w14:textId="77777777" w:rsidR="006A7ED2" w:rsidRPr="00BB3F78" w:rsidRDefault="006A7ED2" w:rsidP="006A7ED2">
      <w:pPr>
        <w:widowControl w:val="0"/>
        <w:autoSpaceDE w:val="0"/>
        <w:autoSpaceDN w:val="0"/>
        <w:rPr>
          <w:b/>
          <w:bCs/>
          <w:color w:val="auto"/>
          <w:sz w:val="24"/>
          <w:szCs w:val="24"/>
          <w:u w:val="single"/>
          <w:lang w:eastAsia="zh-CN"/>
        </w:rPr>
      </w:pPr>
      <w:r w:rsidRPr="00BB3F78">
        <w:rPr>
          <w:b/>
          <w:bCs/>
          <w:color w:val="auto"/>
          <w:sz w:val="24"/>
          <w:szCs w:val="24"/>
          <w:u w:val="single"/>
          <w:lang w:eastAsia="zh-CN"/>
        </w:rPr>
        <w:t>Технико-экономические показатели:</w:t>
      </w:r>
    </w:p>
    <w:p w14:paraId="1419CAE4" w14:textId="77777777" w:rsidR="006A7ED2" w:rsidRPr="00BB3F78" w:rsidRDefault="006A7ED2" w:rsidP="006A7ED2">
      <w:pPr>
        <w:widowControl w:val="0"/>
        <w:autoSpaceDE w:val="0"/>
        <w:autoSpaceDN w:val="0"/>
        <w:rPr>
          <w:b/>
          <w:bCs/>
          <w:color w:val="auto"/>
          <w:sz w:val="24"/>
          <w:szCs w:val="24"/>
          <w:u w:val="single"/>
          <w:lang w:eastAsia="zh-CN"/>
        </w:rPr>
      </w:pPr>
    </w:p>
    <w:p w14:paraId="3C893FE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rFonts w:eastAsia="Lucida Sans Unicode"/>
          <w:color w:val="auto"/>
          <w:kern w:val="1"/>
          <w:sz w:val="24"/>
          <w:szCs w:val="24"/>
          <w:lang w:eastAsia="ar-SA"/>
        </w:rPr>
        <w:t>Здание 8-этажное, с цокольным этажом.</w:t>
      </w:r>
      <w:r w:rsidRPr="00BB3F78">
        <w:rPr>
          <w:color w:val="auto"/>
          <w:sz w:val="24"/>
          <w:szCs w:val="24"/>
        </w:rPr>
        <w:t xml:space="preserve"> Наружные и внутренние стены – кирпичные, перегородки – ГКЛ, перекрытия – пустотные железобетонные плиты.</w:t>
      </w:r>
    </w:p>
    <w:p w14:paraId="786662A7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EE0000"/>
          <w:sz w:val="24"/>
          <w:szCs w:val="24"/>
        </w:rPr>
      </w:pPr>
    </w:p>
    <w:p w14:paraId="0AE38EAB" w14:textId="77777777" w:rsidR="006A7ED2" w:rsidRPr="00BB3F78" w:rsidRDefault="006A7ED2" w:rsidP="006A7ED2">
      <w:pPr>
        <w:tabs>
          <w:tab w:val="clear" w:pos="708"/>
        </w:tabs>
        <w:rPr>
          <w:b/>
          <w:bCs/>
          <w:color w:val="auto"/>
          <w:sz w:val="24"/>
          <w:szCs w:val="24"/>
          <w:u w:val="single"/>
        </w:rPr>
      </w:pPr>
    </w:p>
    <w:p w14:paraId="56E4DC1C" w14:textId="77777777" w:rsidR="006A7ED2" w:rsidRPr="00BB3F78" w:rsidRDefault="006A7ED2" w:rsidP="006A7ED2">
      <w:pPr>
        <w:tabs>
          <w:tab w:val="clear" w:pos="708"/>
        </w:tabs>
        <w:rPr>
          <w:rFonts w:ascii="Calibri" w:hAnsi="Calibri"/>
          <w:b/>
          <w:bCs/>
          <w:color w:val="auto"/>
          <w:sz w:val="24"/>
          <w:szCs w:val="24"/>
          <w:u w:val="single"/>
        </w:rPr>
      </w:pPr>
      <w:r w:rsidRPr="00BB3F78">
        <w:rPr>
          <w:b/>
          <w:bCs/>
          <w:color w:val="auto"/>
          <w:sz w:val="24"/>
          <w:szCs w:val="24"/>
          <w:u w:val="single"/>
        </w:rPr>
        <w:t>Пожарная и взрывопожарная опасность в здании:</w:t>
      </w:r>
      <w:r w:rsidRPr="00BB3F78">
        <w:rPr>
          <w:rFonts w:ascii="Calibri" w:hAnsi="Calibri"/>
          <w:b/>
          <w:bCs/>
          <w:color w:val="auto"/>
          <w:sz w:val="24"/>
          <w:szCs w:val="24"/>
          <w:u w:val="single"/>
        </w:rPr>
        <w:t xml:space="preserve"> </w:t>
      </w:r>
    </w:p>
    <w:p w14:paraId="24DCFB89" w14:textId="77777777" w:rsidR="006A7ED2" w:rsidRPr="00BB3F78" w:rsidRDefault="006A7ED2" w:rsidP="006A7ED2">
      <w:pPr>
        <w:tabs>
          <w:tab w:val="clear" w:pos="708"/>
        </w:tabs>
        <w:rPr>
          <w:rFonts w:ascii="Calibri" w:hAnsi="Calibri"/>
          <w:b/>
          <w:bCs/>
          <w:color w:val="auto"/>
          <w:sz w:val="24"/>
          <w:szCs w:val="24"/>
          <w:u w:val="single"/>
        </w:rPr>
      </w:pPr>
    </w:p>
    <w:p w14:paraId="4CAA76AF" w14:textId="77777777" w:rsidR="006A7ED2" w:rsidRPr="00BB3F78" w:rsidRDefault="006A7ED2" w:rsidP="006A7ED2">
      <w:pPr>
        <w:widowControl w:val="0"/>
        <w:tabs>
          <w:tab w:val="clear" w:pos="708"/>
        </w:tabs>
        <w:suppressAutoHyphens/>
        <w:ind w:right="284" w:firstLine="567"/>
        <w:rPr>
          <w:color w:val="auto"/>
          <w:kern w:val="1"/>
          <w:sz w:val="24"/>
          <w:szCs w:val="24"/>
          <w:lang w:eastAsia="ar-SA"/>
        </w:rPr>
      </w:pPr>
      <w:r w:rsidRPr="00BB3F78">
        <w:rPr>
          <w:color w:val="auto"/>
          <w:kern w:val="1"/>
          <w:sz w:val="24"/>
          <w:szCs w:val="24"/>
          <w:lang w:eastAsia="ar-SA"/>
        </w:rPr>
        <w:t>Класс функциональной пожарной опасности – Ф4.3;</w:t>
      </w:r>
    </w:p>
    <w:p w14:paraId="4297EF17" w14:textId="77777777" w:rsidR="006A7ED2" w:rsidRPr="00BB3F78" w:rsidRDefault="006A7ED2" w:rsidP="006A7ED2">
      <w:pPr>
        <w:widowControl w:val="0"/>
        <w:tabs>
          <w:tab w:val="clear" w:pos="708"/>
        </w:tabs>
        <w:suppressAutoHyphens/>
        <w:ind w:firstLine="567"/>
        <w:rPr>
          <w:rFonts w:eastAsia="Lucida Sans Unicode"/>
          <w:color w:val="auto"/>
          <w:kern w:val="1"/>
          <w:sz w:val="24"/>
          <w:szCs w:val="24"/>
          <w:lang w:eastAsia="ar-SA"/>
        </w:rPr>
      </w:pPr>
      <w:r w:rsidRPr="00BB3F78">
        <w:rPr>
          <w:rFonts w:eastAsia="Lucida Sans Unicode"/>
          <w:color w:val="auto"/>
          <w:kern w:val="1"/>
          <w:sz w:val="24"/>
          <w:szCs w:val="24"/>
          <w:lang w:eastAsia="ar-SA"/>
        </w:rPr>
        <w:t>Согласно ст.27 п.2 Федерального закона №123-ФЗ «Технический регламент о требованиях пожарной безопасности» здания класса Ф4.3 по взрывопожарной и пожарной опасности не категорируются.</w:t>
      </w:r>
    </w:p>
    <w:p w14:paraId="59BC2530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Взрывоопасных помещений с присутствием агрессивных сред нет.</w:t>
      </w:r>
    </w:p>
    <w:p w14:paraId="21EB887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63E00C6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Наличие помещений с постоянным пребыванием людей:</w:t>
      </w:r>
    </w:p>
    <w:p w14:paraId="2547F7CD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рабочие кабинеты</w:t>
      </w:r>
    </w:p>
    <w:p w14:paraId="54FA3209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1D5E76D0" w14:textId="77777777" w:rsidR="006A7ED2" w:rsidRPr="00BB3F78" w:rsidRDefault="006A7ED2" w:rsidP="006A7ED2">
      <w:pPr>
        <w:tabs>
          <w:tab w:val="clear" w:pos="708"/>
        </w:tabs>
        <w:rPr>
          <w:b/>
          <w:bCs/>
          <w:color w:val="auto"/>
          <w:sz w:val="24"/>
          <w:szCs w:val="24"/>
          <w:u w:val="single"/>
        </w:rPr>
      </w:pPr>
      <w:r w:rsidRPr="00BB3F78">
        <w:rPr>
          <w:b/>
          <w:bCs/>
          <w:color w:val="auto"/>
          <w:sz w:val="24"/>
          <w:szCs w:val="24"/>
          <w:u w:val="single"/>
        </w:rPr>
        <w:t>Виды работ:</w:t>
      </w:r>
    </w:p>
    <w:p w14:paraId="4C00C07C" w14:textId="77777777" w:rsidR="006A7ED2" w:rsidRPr="00BB3F78" w:rsidRDefault="006A7ED2" w:rsidP="006A7ED2">
      <w:pPr>
        <w:tabs>
          <w:tab w:val="clear" w:pos="708"/>
        </w:tabs>
        <w:rPr>
          <w:b/>
          <w:bCs/>
          <w:color w:val="auto"/>
          <w:sz w:val="24"/>
          <w:szCs w:val="24"/>
          <w:u w:val="single"/>
        </w:rPr>
      </w:pPr>
    </w:p>
    <w:p w14:paraId="53E5345B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  <w:u w:val="single"/>
        </w:rPr>
      </w:pPr>
      <w:r w:rsidRPr="00BB3F78">
        <w:rPr>
          <w:color w:val="auto"/>
          <w:sz w:val="24"/>
          <w:szCs w:val="24"/>
          <w:u w:val="single"/>
        </w:rPr>
        <w:t>Демонтажные работы:</w:t>
      </w:r>
    </w:p>
    <w:p w14:paraId="1B1662B3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</w:t>
      </w:r>
      <w:r w:rsidRPr="00BB3F78">
        <w:rPr>
          <w:rFonts w:ascii="Arial Narrow" w:eastAsiaTheme="minorHAnsi" w:hAnsi="Arial Narrow" w:cs="Arial Narrow"/>
          <w:sz w:val="14"/>
          <w:szCs w:val="14"/>
          <w:lang w:eastAsia="en-US"/>
        </w:rPr>
        <w:t xml:space="preserve"> </w:t>
      </w:r>
      <w:r w:rsidRPr="00BB3F78">
        <w:rPr>
          <w:color w:val="auto"/>
          <w:sz w:val="24"/>
          <w:szCs w:val="24"/>
        </w:rPr>
        <w:t>Демонтаж полов с покрытием плиткой по Ж/Б плите (t=20мм) - 216,34м2/4,33м3.</w:t>
      </w:r>
    </w:p>
    <w:p w14:paraId="44D5261F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полов с покрытием линолеумом по Ж/Б плите (t=10мм) - 2,01м2/0,02м3.</w:t>
      </w:r>
    </w:p>
    <w:p w14:paraId="40245CD6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ГКЛ перегородок толщиной 100-120мм - 3,15м3.</w:t>
      </w:r>
    </w:p>
    <w:p w14:paraId="4E0A54F5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внутренних деревянных дверей 1000х2100(h), МДФ - 14,70м2 (7шт.)</w:t>
      </w:r>
    </w:p>
    <w:p w14:paraId="7D6A2553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внутренних деревянных дверей 930х2100(h), МДФ - 14,70м2 (3шт.)</w:t>
      </w:r>
    </w:p>
    <w:p w14:paraId="6C26D7B0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внутренней отделки ГКЛ перегородок (обои, шпаклевка)</w:t>
      </w:r>
    </w:p>
    <w:p w14:paraId="292D6291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в том числе за потолочное пространство – 560,84м2</w:t>
      </w:r>
    </w:p>
    <w:p w14:paraId="4D2B103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Демонтаж внутренней отделки ГКЛ перегородок (плитка) -8,59м2</w:t>
      </w:r>
    </w:p>
    <w:p w14:paraId="081B03E0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 xml:space="preserve">- Демонтаж подвесной потолочной системы "АRMSTRONG" </w:t>
      </w:r>
    </w:p>
    <w:p w14:paraId="0F706AB1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с заполеннеим плиткой Armstrong – 218,35м2</w:t>
      </w:r>
    </w:p>
    <w:p w14:paraId="66B9B24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7CF88363" w14:textId="77777777" w:rsidR="006A7ED2" w:rsidRPr="00BB3F78" w:rsidRDefault="006A7ED2" w:rsidP="006A7ED2">
      <w:pPr>
        <w:tabs>
          <w:tab w:val="clear" w:pos="708"/>
        </w:tabs>
        <w:spacing w:after="160" w:line="259" w:lineRule="auto"/>
        <w:jc w:val="left"/>
        <w:rPr>
          <w:color w:val="auto"/>
          <w:sz w:val="24"/>
          <w:szCs w:val="24"/>
          <w:u w:val="single"/>
        </w:rPr>
      </w:pPr>
      <w:r w:rsidRPr="00BB3F78">
        <w:rPr>
          <w:color w:val="auto"/>
          <w:sz w:val="24"/>
          <w:szCs w:val="24"/>
          <w:u w:val="single"/>
        </w:rPr>
        <w:br w:type="page"/>
      </w:r>
    </w:p>
    <w:p w14:paraId="64D55F01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  <w:u w:val="single"/>
        </w:rPr>
      </w:pPr>
      <w:r w:rsidRPr="00BB3F78">
        <w:rPr>
          <w:color w:val="auto"/>
          <w:sz w:val="24"/>
          <w:szCs w:val="24"/>
          <w:u w:val="single"/>
        </w:rPr>
        <w:lastRenderedPageBreak/>
        <w:t>Монтажные работы:</w:t>
      </w:r>
    </w:p>
    <w:p w14:paraId="68AA94E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  <w:u w:val="single"/>
        </w:rPr>
      </w:pPr>
    </w:p>
    <w:p w14:paraId="731E950A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Отделка потолков</w:t>
      </w:r>
    </w:p>
    <w:p w14:paraId="774892E5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подвесная потолочная система "АRMSTRONG" с заполнением плиткой Armstrong Oasis NG Board*, класса КМ0 (или аналог)– 170,78м2</w:t>
      </w:r>
    </w:p>
    <w:p w14:paraId="36385B8B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реечный потолок Албес "Рейку кубообразного" Система A50S (или аналог) с отделкой за потолочного пространства (или аналог)–  – 43,60м2</w:t>
      </w:r>
    </w:p>
    <w:p w14:paraId="2B1CC32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реечный потолок Omega производства Албес (или аналог)–  – 3,97м2</w:t>
      </w:r>
    </w:p>
    <w:p w14:paraId="097893D5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71CBF6D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Стены</w:t>
      </w:r>
    </w:p>
    <w:p w14:paraId="38CA8E19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отделка стен стекообоями под покраску с дальнейшей окраской вододисперсионной краской на акрилатной основе за два раза – 495,46м2 (59,65м2 за потолочное пространство)</w:t>
      </w:r>
    </w:p>
    <w:p w14:paraId="4DBA1AD7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отделка стен плиткой – 12,64м2 (1,68м2 за потолочное пространство)</w:t>
      </w:r>
    </w:p>
    <w:p w14:paraId="77A48810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7E04C578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Полы</w:t>
      </w:r>
    </w:p>
    <w:p w14:paraId="18188FF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устройство полов из ПВХ плитки- 215,8м2 с установкой ПВХ плинтусов 185,02м.п.</w:t>
      </w:r>
    </w:p>
    <w:p w14:paraId="0156FA6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устройство полов из керамогранитной плитки для пола 300х300 - 2,01м2</w:t>
      </w:r>
    </w:p>
    <w:p w14:paraId="00D1F454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1196EDFF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ГКЛ перегородки</w:t>
      </w:r>
    </w:p>
    <w:p w14:paraId="66350671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устройство новых перегородок из ГКЛ – 9,14м2</w:t>
      </w:r>
    </w:p>
    <w:p w14:paraId="1B451474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442E577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Двери</w:t>
      </w:r>
    </w:p>
    <w:p w14:paraId="40DD77D2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монтаж новых дверей - 20,56м2 (10шт.)</w:t>
      </w:r>
    </w:p>
    <w:p w14:paraId="0B4A911A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46AD55C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Раздвижные перегородки</w:t>
      </w:r>
    </w:p>
    <w:p w14:paraId="02C1A4FE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-Устройство раздвижных перегородок «Гармошка» - 6,64+12,05=18,69м2 (2шт)</w:t>
      </w:r>
    </w:p>
    <w:p w14:paraId="59E35FFD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02E66434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Освещение</w:t>
      </w:r>
    </w:p>
    <w:p w14:paraId="5B9EC999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-Монтаж нового освещения</w:t>
      </w:r>
    </w:p>
    <w:p w14:paraId="75A8E0F3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</w:p>
    <w:p w14:paraId="6ACAD079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Рабочая документация разработана в соответствии с требованиями ГОСТ Р 21.101.2020. В составе рабочей документации предусмотрены:</w:t>
      </w:r>
    </w:p>
    <w:p w14:paraId="01AC9817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Архитектурные решения-АР;</w:t>
      </w:r>
    </w:p>
    <w:p w14:paraId="55534DA5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Электроосвещение - ЭО;</w:t>
      </w:r>
    </w:p>
    <w:p w14:paraId="77D6A1FC" w14:textId="77777777" w:rsidR="006A7ED2" w:rsidRPr="00BB3F78" w:rsidRDefault="006A7ED2" w:rsidP="006A7ED2">
      <w:pPr>
        <w:tabs>
          <w:tab w:val="clear" w:pos="708"/>
        </w:tabs>
        <w:ind w:firstLine="567"/>
        <w:rPr>
          <w:color w:val="auto"/>
          <w:sz w:val="24"/>
          <w:szCs w:val="24"/>
        </w:rPr>
      </w:pPr>
      <w:r w:rsidRPr="00BB3F78">
        <w:rPr>
          <w:color w:val="auto"/>
          <w:sz w:val="24"/>
          <w:szCs w:val="24"/>
        </w:rPr>
        <w:t>- Структурированная кабельная сеть - СКС;</w:t>
      </w:r>
    </w:p>
    <w:p w14:paraId="001138B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</w:rPr>
      </w:pPr>
      <w:r w:rsidRPr="00BB3F78">
        <w:rPr>
          <w:color w:val="auto"/>
        </w:rPr>
        <w:t>- Смета на капитальный ремонт – СМ.</w:t>
      </w:r>
    </w:p>
    <w:p w14:paraId="2FBA4543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</w:rPr>
      </w:pPr>
    </w:p>
    <w:p w14:paraId="17FFE154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</w:rPr>
        <w:t>Сметная документация должна пройти экспертизе достоверности сметной стоимости в негосударственной экспертизы</w:t>
      </w:r>
    </w:p>
    <w:p w14:paraId="4E74074A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</w:p>
    <w:p w14:paraId="54488F6D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Выполнение этапов работ предусматривается в сроки, установленные Графиком выполнения работ (Приложение № </w:t>
      </w:r>
      <w:r>
        <w:rPr>
          <w:color w:val="auto"/>
          <w:sz w:val="24"/>
          <w:szCs w:val="24"/>
          <w:lang w:eastAsia="zh-CN"/>
        </w:rPr>
        <w:t>3</w:t>
      </w:r>
      <w:r w:rsidRPr="00BB3F78">
        <w:rPr>
          <w:color w:val="auto"/>
          <w:sz w:val="24"/>
          <w:szCs w:val="24"/>
          <w:lang w:eastAsia="zh-CN"/>
        </w:rPr>
        <w:t xml:space="preserve"> к </w:t>
      </w:r>
      <w:r>
        <w:rPr>
          <w:color w:val="auto"/>
          <w:sz w:val="24"/>
          <w:szCs w:val="24"/>
          <w:lang w:eastAsia="zh-CN"/>
        </w:rPr>
        <w:t>Договору</w:t>
      </w:r>
      <w:r w:rsidRPr="00BB3F78">
        <w:rPr>
          <w:color w:val="auto"/>
          <w:sz w:val="24"/>
          <w:szCs w:val="24"/>
          <w:lang w:eastAsia="zh-CN"/>
        </w:rPr>
        <w:t>).</w:t>
      </w:r>
    </w:p>
    <w:p w14:paraId="7EB337DD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Выполняемые работы и результаты таких работ должны соответствовать всем требованиям, установленным в соответствии с законодательством Российской Федерации. В том числе, выполненные работы должны, соответствовать требованиям СП, СНиП, СанПиН, ГОСТ, ТУ и другим нормативным документам, утвержденным и рекомендованным к применению Минстроем Российской Федерации.</w:t>
      </w:r>
    </w:p>
    <w:p w14:paraId="3C730F5F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Материалы и оборудование, используемые для проведения работ, должны быть экологически безопасными, качественными, соответствовать требованиям ГОСТов, ТУ для данных видов товаров и разрешены к применению на территории Российской Федерации, иметь документ изготовителя, содержащий все существенные технические характеристики, иметь соответствующие сертификаты, технические паспорта, а также другие документы, удостоверяющие их качество, если их наличие предусмотрено действующим </w:t>
      </w:r>
      <w:r w:rsidRPr="00BB3F78">
        <w:rPr>
          <w:color w:val="auto"/>
          <w:sz w:val="24"/>
          <w:szCs w:val="24"/>
          <w:lang w:eastAsia="zh-CN"/>
        </w:rPr>
        <w:lastRenderedPageBreak/>
        <w:t>законодательством. Используемые при капитальном ремонте материалы и оборудование должны быть новыми (товарами, 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2521938B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Подрядчик должен обеспечить во время проведения работ для всех, кто будет находиться в здании и на своих рабочих местах:</w:t>
      </w:r>
    </w:p>
    <w:p w14:paraId="142601C8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- соблюдение всех принятых ранее мероприятий по безопасности, по технике безопасности, по охране окружающей среды и санитарно-гигиенических правил;</w:t>
      </w:r>
    </w:p>
    <w:p w14:paraId="111F17A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- сохранность оборудования и оснащения в производственных помещениях, и личных вещей сотрудников. </w:t>
      </w:r>
    </w:p>
    <w:p w14:paraId="70DBD5EE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Размещение ИТР и рабочих Подрядчика предусматривается в помещениях учреждения, по предварительному согласованию с Заказчиком. Доставка материалов, оборудования, инструмента и т.д. на объект – силами и механизмами Подрядчика. Размещение и хранение строительных машин и механизмов, строительных материалов и оборудования на территории учреждения, необходимо предварительно согласовывать с Заказчиком, их охрана осуществляется силами Подрядчика.</w:t>
      </w:r>
    </w:p>
    <w:p w14:paraId="3CAB115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Пути перемещения внутри здания работников Подрядчика на период капитального ремонта согласовываются с Заказчиком отдельно для каждого комплекса</w:t>
      </w:r>
    </w:p>
    <w:p w14:paraId="09C5C0AE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Подрядчик должен обеспечить выполнение необходимых мероприятий по технике безопасности, охране окружающей среды и соблюдение правил санитарии во время проведения работ. Подрядчик должен соблюдать технологию выполнения строительных работ согласно СНиП, СанПиН и требований техники безопасности, пожарной безопасности и охраны труда. Ответственность за соблюдение правил пожарной безопасности, охраны труда и санитарно-гигиенического режима возлагается на Подрядчика, который должен своим приказом (письменно) назначить лицо, ответственное за проведение работ и соблюдение вышеуказанных правил. Копия приказа представляется Заказчику.</w:t>
      </w:r>
    </w:p>
    <w:p w14:paraId="027D86EA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При возникновении аварийной ситуации по вине Подрядчика, восстановительные и ремонтные работы осуществляются силами и за счет денежных средств Подрядчика.</w:t>
      </w:r>
    </w:p>
    <w:p w14:paraId="24AD7F39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До приемки выполненных работ, по решению Заказчика могут быть выполнены контрольные измерения и испытания в подтверждение качества применяемого материала изделий, с привлечением специалистов при необходимости. </w:t>
      </w:r>
    </w:p>
    <w:p w14:paraId="2EF67ABD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При выполнении работ, связанных с нарушением целостности стен Подрядчик должен устранить последствия выполнения работ путем восстановления стен в исходное состояние с помощью качественных материалов.</w:t>
      </w:r>
    </w:p>
    <w:p w14:paraId="40CF64A6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Результаты выполненных работ должны отвечать эксплуатационным и эстетическим требованиям. Качество выполненных работ должно обеспечивать дальнейшую эксплуатацию всех инженерных систем и конструкций. В случае обнаружения дефектов после приемки объекта, в течение гарантийного срока, исправление дефектов производится силами Подрядчика и за его счет в установленные </w:t>
      </w:r>
      <w:r>
        <w:rPr>
          <w:color w:val="auto"/>
          <w:sz w:val="24"/>
          <w:szCs w:val="24"/>
          <w:lang w:eastAsia="zh-CN"/>
        </w:rPr>
        <w:t>Договором</w:t>
      </w:r>
      <w:r w:rsidRPr="00BB3F78">
        <w:rPr>
          <w:color w:val="auto"/>
          <w:sz w:val="24"/>
          <w:szCs w:val="24"/>
          <w:lang w:eastAsia="zh-CN"/>
        </w:rPr>
        <w:t xml:space="preserve"> сроки.</w:t>
      </w:r>
    </w:p>
    <w:p w14:paraId="6F5512C9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Гарантийный срок на выполненные работы устанавливается сроком на 5 (пять) лет.</w:t>
      </w:r>
    </w:p>
    <w:p w14:paraId="2DBEAB19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В случае если производителями или поставщиками технологического и инженерного оборудования, применяемого при капитальном ремонте, установлены гарантийные сроки, большие по сравнению с гарантийным сроком, предусмотренным </w:t>
      </w:r>
      <w:r>
        <w:rPr>
          <w:color w:val="auto"/>
          <w:sz w:val="24"/>
          <w:szCs w:val="24"/>
          <w:lang w:eastAsia="zh-CN"/>
        </w:rPr>
        <w:t>договор</w:t>
      </w:r>
      <w:r w:rsidRPr="00BB3F78">
        <w:rPr>
          <w:color w:val="auto"/>
          <w:sz w:val="24"/>
          <w:szCs w:val="24"/>
          <w:lang w:eastAsia="zh-CN"/>
        </w:rPr>
        <w:t>ом, к соответствующему технологическому и инженерному оборудованию применяются гарантийные сроки, установленные производителями, поставщиками.</w:t>
      </w:r>
    </w:p>
    <w:p w14:paraId="06B69E26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 xml:space="preserve">В случае если производителями или поставщиками материалов, конструкций, изделий или оборудования, подлежащих передаче заказчику после завершения работ, установлены гарантийные сроки, большие по сравнению с гарантийным сроком, установленным в пункте </w:t>
      </w:r>
      <w:r>
        <w:rPr>
          <w:color w:val="auto"/>
          <w:sz w:val="24"/>
          <w:szCs w:val="24"/>
          <w:lang w:eastAsia="zh-CN"/>
        </w:rPr>
        <w:t>договор</w:t>
      </w:r>
      <w:r w:rsidRPr="00BB3F78">
        <w:rPr>
          <w:color w:val="auto"/>
          <w:sz w:val="24"/>
          <w:szCs w:val="24"/>
          <w:lang w:eastAsia="zh-CN"/>
        </w:rPr>
        <w:t xml:space="preserve">а, к соответствующим элементам работ применяются гарантийные сроки, предусмотренные производителями, поставщиками. Подрядчик обязуется передать заказчику в составе исполнительной документации все документы, подтверждающие </w:t>
      </w:r>
      <w:r w:rsidRPr="00BB3F78">
        <w:rPr>
          <w:color w:val="auto"/>
          <w:sz w:val="24"/>
          <w:szCs w:val="24"/>
          <w:lang w:eastAsia="zh-CN"/>
        </w:rPr>
        <w:lastRenderedPageBreak/>
        <w:t>гарантийные обязательства поставщиков или производителей.</w:t>
      </w:r>
    </w:p>
    <w:p w14:paraId="26DDD6E5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Подрядчик несет ответственность за недостатки (дефекты) работ, обнаруженные в период гарантийного срока, если не докажет, что они произошли вследствие нормального износа объекта и его частей, неправильной эксплуатации, ненадлежащего ремонта объекта, произведенного заказчиком или привлеченными заказчиком третьими лицами.</w:t>
      </w:r>
    </w:p>
    <w:p w14:paraId="2789E6C9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Устранение недостатков (дефектов) работ, выявленных в течение гарантийного срока, осуществляется силами и за счет средств подрядчика.</w:t>
      </w:r>
    </w:p>
    <w:p w14:paraId="70676D75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Если в течение гарантийного срока</w:t>
      </w:r>
      <w:r>
        <w:rPr>
          <w:color w:val="auto"/>
          <w:sz w:val="24"/>
          <w:szCs w:val="24"/>
          <w:lang w:eastAsia="zh-CN"/>
        </w:rPr>
        <w:t xml:space="preserve"> </w:t>
      </w:r>
      <w:r w:rsidRPr="00BB3F78">
        <w:rPr>
          <w:color w:val="auto"/>
          <w:sz w:val="24"/>
          <w:szCs w:val="24"/>
          <w:lang w:eastAsia="zh-CN"/>
        </w:rPr>
        <w:t xml:space="preserve">будут обнаружены недостатки (дефекты) работ, заказчик уведомляет об этом подрядчика в порядке, предусмотренном </w:t>
      </w:r>
      <w:r>
        <w:rPr>
          <w:color w:val="auto"/>
          <w:sz w:val="24"/>
          <w:szCs w:val="24"/>
          <w:lang w:eastAsia="zh-CN"/>
        </w:rPr>
        <w:t xml:space="preserve">договором </w:t>
      </w:r>
      <w:r w:rsidRPr="00BB3F78">
        <w:rPr>
          <w:color w:val="auto"/>
          <w:sz w:val="24"/>
          <w:szCs w:val="24"/>
          <w:lang w:eastAsia="zh-CN"/>
        </w:rPr>
        <w:t>для направления уведомлений.</w:t>
      </w:r>
    </w:p>
    <w:p w14:paraId="4ADF036F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Не позднее 10 (десяти) календарных дней со дня получения подрядчиком уведомления о выявленных недостатках (дефектах) работ стороны составляют акт с указанием недостатков, причин их возникновения, порядка и сроков их устранения.</w:t>
      </w:r>
    </w:p>
    <w:p w14:paraId="6893A2BF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В случае уклонения подрядчика от составления акта выявленных недостатков (дефектов) работ в установленный срок заказчик вправе составить его без участия подрядчика.</w:t>
      </w:r>
    </w:p>
    <w:p w14:paraId="02D76909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Если иной срок не будет согласован сторонами дополнительно, подрядчик обязуется устранить выявленные недостатки (дефекты) работ не позднее 1 (одного) месяца со дня получения требования от заказчика.</w:t>
      </w:r>
    </w:p>
    <w:p w14:paraId="1CE5241C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В случае отказа подрядчика от устранения выявленных недостатков (дефектов) работ или в случае не устранения недостатков (дефектов) работ в установленный срок заказчик вправе привлечь третьих лиц с возмещением расходов на устранение недостатков (дефектов) работ за счет подрядчика.</w:t>
      </w:r>
    </w:p>
    <w:p w14:paraId="1DA7159A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  <w:r w:rsidRPr="00BB3F78">
        <w:rPr>
          <w:color w:val="auto"/>
          <w:sz w:val="24"/>
          <w:szCs w:val="24"/>
          <w:lang w:eastAsia="zh-CN"/>
        </w:rPr>
        <w:t>Течение гарантийного срока прерывается на все время, на протяжении которого объект не мог эксплуатироваться вследствие недостатков (дефектов) работ, за которые отвечает подрядчик.</w:t>
      </w:r>
    </w:p>
    <w:p w14:paraId="2DF46DBE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</w:p>
    <w:p w14:paraId="1522DFBA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</w:p>
    <w:p w14:paraId="75EDA3E8" w14:textId="77777777" w:rsidR="006A7ED2" w:rsidRPr="00BB3F78" w:rsidRDefault="006A7ED2" w:rsidP="006A7ED2">
      <w:pPr>
        <w:widowControl w:val="0"/>
        <w:autoSpaceDE w:val="0"/>
        <w:autoSpaceDN w:val="0"/>
        <w:ind w:firstLine="567"/>
        <w:rPr>
          <w:color w:val="auto"/>
          <w:sz w:val="24"/>
          <w:szCs w:val="24"/>
          <w:lang w:eastAsia="zh-CN"/>
        </w:rPr>
      </w:pPr>
    </w:p>
    <w:p w14:paraId="38B5E41B" w14:textId="77777777" w:rsidR="006A7ED2" w:rsidRPr="00BB3F78" w:rsidRDefault="006A7ED2" w:rsidP="006A7ED2">
      <w:pPr>
        <w:tabs>
          <w:tab w:val="clear" w:pos="708"/>
        </w:tabs>
        <w:jc w:val="center"/>
        <w:rPr>
          <w:b/>
          <w:bCs/>
          <w:color w:val="auto"/>
          <w:kern w:val="32"/>
          <w:sz w:val="21"/>
          <w:szCs w:val="21"/>
        </w:rPr>
      </w:pPr>
      <w:r w:rsidRPr="00BB3F78">
        <w:rPr>
          <w:b/>
          <w:bCs/>
          <w:color w:val="auto"/>
          <w:kern w:val="32"/>
          <w:sz w:val="21"/>
          <w:szCs w:val="21"/>
        </w:rPr>
        <w:t>ПОДПИСИ СТОРОН: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64"/>
        <w:gridCol w:w="2170"/>
        <w:gridCol w:w="2462"/>
        <w:gridCol w:w="2259"/>
      </w:tblGrid>
      <w:tr w:rsidR="006A7ED2" w:rsidRPr="00BB3F78" w14:paraId="2FE57742" w14:textId="77777777" w:rsidTr="00D5094F">
        <w:tc>
          <w:tcPr>
            <w:tcW w:w="2464" w:type="dxa"/>
          </w:tcPr>
          <w:p w14:paraId="34FCBE25" w14:textId="77777777" w:rsidR="006A7ED2" w:rsidRPr="00BB3F78" w:rsidRDefault="006A7ED2" w:rsidP="00D5094F">
            <w:pPr>
              <w:tabs>
                <w:tab w:val="clear" w:pos="708"/>
              </w:tabs>
              <w:rPr>
                <w:b/>
                <w:bCs/>
                <w:color w:val="auto"/>
                <w:kern w:val="32"/>
                <w:sz w:val="21"/>
                <w:szCs w:val="21"/>
              </w:rPr>
            </w:pPr>
          </w:p>
          <w:p w14:paraId="5F175F37" w14:textId="77777777" w:rsidR="006A7ED2" w:rsidRPr="00BB3F78" w:rsidRDefault="006A7ED2" w:rsidP="00D5094F">
            <w:pPr>
              <w:tabs>
                <w:tab w:val="clear" w:pos="708"/>
              </w:tabs>
              <w:rPr>
                <w:b/>
                <w:bCs/>
                <w:color w:val="auto"/>
                <w:kern w:val="32"/>
                <w:sz w:val="21"/>
                <w:szCs w:val="21"/>
              </w:rPr>
            </w:pPr>
          </w:p>
          <w:p w14:paraId="1EACAFA7" w14:textId="77777777" w:rsidR="006A7ED2" w:rsidRPr="00BB3F78" w:rsidRDefault="006A7ED2" w:rsidP="00D5094F">
            <w:pPr>
              <w:tabs>
                <w:tab w:val="clear" w:pos="708"/>
              </w:tabs>
              <w:rPr>
                <w:b/>
                <w:bCs/>
                <w:color w:val="auto"/>
                <w:kern w:val="32"/>
                <w:sz w:val="21"/>
                <w:szCs w:val="21"/>
              </w:rPr>
            </w:pPr>
            <w:r w:rsidRPr="00BB3F78">
              <w:rPr>
                <w:b/>
                <w:bCs/>
                <w:color w:val="auto"/>
                <w:kern w:val="32"/>
                <w:sz w:val="21"/>
                <w:szCs w:val="21"/>
              </w:rPr>
              <w:t xml:space="preserve">Подрядчик: </w:t>
            </w:r>
          </w:p>
          <w:p w14:paraId="61DB5802" w14:textId="77777777" w:rsidR="006A7ED2" w:rsidRPr="00BB3F78" w:rsidRDefault="006A7ED2" w:rsidP="00D5094F">
            <w:pPr>
              <w:tabs>
                <w:tab w:val="clear" w:pos="708"/>
              </w:tabs>
              <w:rPr>
                <w:bCs/>
                <w:color w:val="auto"/>
                <w:kern w:val="32"/>
                <w:sz w:val="21"/>
                <w:szCs w:val="21"/>
              </w:rPr>
            </w:pPr>
            <w:r w:rsidRPr="00BB3F78">
              <w:rPr>
                <w:b/>
                <w:bCs/>
                <w:color w:val="auto"/>
                <w:kern w:val="32"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2464" w:type="dxa"/>
          </w:tcPr>
          <w:p w14:paraId="36CC235D" w14:textId="77777777" w:rsidR="006A7ED2" w:rsidRPr="00BB3F78" w:rsidRDefault="006A7ED2" w:rsidP="00D5094F">
            <w:pPr>
              <w:tabs>
                <w:tab w:val="clear" w:pos="708"/>
              </w:tabs>
              <w:rPr>
                <w:bCs/>
                <w:color w:val="auto"/>
                <w:kern w:val="32"/>
                <w:sz w:val="21"/>
                <w:szCs w:val="21"/>
              </w:rPr>
            </w:pPr>
          </w:p>
        </w:tc>
        <w:tc>
          <w:tcPr>
            <w:tcW w:w="2462" w:type="dxa"/>
          </w:tcPr>
          <w:p w14:paraId="50756A12" w14:textId="77777777" w:rsidR="006A7ED2" w:rsidRPr="00BB3F78" w:rsidRDefault="006A7ED2" w:rsidP="00D5094F">
            <w:pPr>
              <w:tabs>
                <w:tab w:val="clear" w:pos="708"/>
              </w:tabs>
              <w:rPr>
                <w:b/>
                <w:bCs/>
                <w:color w:val="auto"/>
                <w:kern w:val="32"/>
                <w:sz w:val="21"/>
                <w:szCs w:val="21"/>
              </w:rPr>
            </w:pPr>
          </w:p>
          <w:p w14:paraId="437312B9" w14:textId="77777777" w:rsidR="006A7ED2" w:rsidRPr="00BB3F78" w:rsidRDefault="006A7ED2" w:rsidP="00D5094F">
            <w:pPr>
              <w:tabs>
                <w:tab w:val="clear" w:pos="708"/>
              </w:tabs>
              <w:rPr>
                <w:b/>
                <w:bCs/>
                <w:color w:val="auto"/>
                <w:kern w:val="32"/>
                <w:sz w:val="21"/>
                <w:szCs w:val="21"/>
              </w:rPr>
            </w:pPr>
          </w:p>
          <w:p w14:paraId="30A22969" w14:textId="77777777" w:rsidR="006A7ED2" w:rsidRPr="00BB3F78" w:rsidRDefault="006A7ED2" w:rsidP="00D5094F">
            <w:pPr>
              <w:tabs>
                <w:tab w:val="clear" w:pos="708"/>
              </w:tabs>
              <w:rPr>
                <w:bCs/>
                <w:color w:val="auto"/>
                <w:kern w:val="32"/>
                <w:sz w:val="21"/>
                <w:szCs w:val="21"/>
              </w:rPr>
            </w:pPr>
            <w:r w:rsidRPr="00BB3F78">
              <w:rPr>
                <w:b/>
                <w:bCs/>
                <w:color w:val="auto"/>
                <w:kern w:val="32"/>
                <w:sz w:val="21"/>
                <w:szCs w:val="21"/>
              </w:rPr>
              <w:t>Заказчик:</w:t>
            </w:r>
            <w:r w:rsidRPr="00BB3F78">
              <w:rPr>
                <w:bCs/>
                <w:color w:val="auto"/>
                <w:kern w:val="32"/>
                <w:sz w:val="21"/>
                <w:szCs w:val="21"/>
              </w:rPr>
              <w:t xml:space="preserve">                            </w:t>
            </w:r>
          </w:p>
        </w:tc>
        <w:tc>
          <w:tcPr>
            <w:tcW w:w="2463" w:type="dxa"/>
          </w:tcPr>
          <w:p w14:paraId="581B71B1" w14:textId="77777777" w:rsidR="006A7ED2" w:rsidRPr="00BB3F78" w:rsidRDefault="006A7ED2" w:rsidP="00D5094F">
            <w:pPr>
              <w:tabs>
                <w:tab w:val="clear" w:pos="708"/>
              </w:tabs>
              <w:ind w:firstLine="347"/>
              <w:rPr>
                <w:bCs/>
                <w:color w:val="auto"/>
                <w:kern w:val="32"/>
                <w:sz w:val="21"/>
                <w:szCs w:val="21"/>
              </w:rPr>
            </w:pPr>
          </w:p>
        </w:tc>
      </w:tr>
      <w:tr w:rsidR="006A7ED2" w:rsidRPr="00BB3F78" w14:paraId="314DB7B4" w14:textId="77777777" w:rsidTr="00D5094F">
        <w:tc>
          <w:tcPr>
            <w:tcW w:w="4928" w:type="dxa"/>
            <w:gridSpan w:val="2"/>
          </w:tcPr>
          <w:p w14:paraId="1B88A962" w14:textId="0D5C6DD7" w:rsidR="006A7ED2" w:rsidRPr="00BB3F78" w:rsidRDefault="006A7ED2" w:rsidP="00D5094F">
            <w:pPr>
              <w:tabs>
                <w:tab w:val="clear" w:pos="708"/>
                <w:tab w:val="left" w:pos="2700"/>
              </w:tabs>
              <w:rPr>
                <w:b/>
                <w:bCs/>
                <w:szCs w:val="22"/>
              </w:rPr>
            </w:pPr>
            <w:r>
              <w:rPr>
                <w:sz w:val="21"/>
                <w:szCs w:val="21"/>
              </w:rPr>
              <w:t>____________________________</w:t>
            </w:r>
          </w:p>
        </w:tc>
        <w:tc>
          <w:tcPr>
            <w:tcW w:w="4925" w:type="dxa"/>
            <w:gridSpan w:val="2"/>
          </w:tcPr>
          <w:p w14:paraId="64D6C8AD" w14:textId="77777777" w:rsidR="006A7ED2" w:rsidRPr="00BB3F78" w:rsidRDefault="006A7ED2" w:rsidP="00D5094F">
            <w:pPr>
              <w:tabs>
                <w:tab w:val="clear" w:pos="708"/>
              </w:tabs>
              <w:jc w:val="left"/>
              <w:rPr>
                <w:bCs/>
                <w:color w:val="auto"/>
                <w:kern w:val="32"/>
                <w:sz w:val="21"/>
                <w:szCs w:val="21"/>
              </w:rPr>
            </w:pPr>
            <w:r w:rsidRPr="00BB3F78">
              <w:rPr>
                <w:bCs/>
                <w:color w:val="auto"/>
                <w:kern w:val="32"/>
                <w:sz w:val="21"/>
                <w:szCs w:val="21"/>
              </w:rPr>
              <w:t>Директор</w:t>
            </w:r>
          </w:p>
          <w:p w14:paraId="1EDD77E8" w14:textId="77777777" w:rsidR="006A7ED2" w:rsidRPr="00BB3F78" w:rsidRDefault="006A7ED2" w:rsidP="00D5094F">
            <w:pPr>
              <w:tabs>
                <w:tab w:val="clear" w:pos="708"/>
              </w:tabs>
              <w:jc w:val="left"/>
              <w:rPr>
                <w:b/>
                <w:color w:val="auto"/>
                <w:kern w:val="32"/>
                <w:sz w:val="21"/>
                <w:szCs w:val="21"/>
              </w:rPr>
            </w:pPr>
            <w:r w:rsidRPr="00BB3F78">
              <w:rPr>
                <w:b/>
                <w:color w:val="auto"/>
                <w:kern w:val="32"/>
                <w:sz w:val="21"/>
                <w:szCs w:val="21"/>
              </w:rPr>
              <w:t xml:space="preserve">___________________М.С.Дубенский </w:t>
            </w:r>
          </w:p>
        </w:tc>
      </w:tr>
    </w:tbl>
    <w:p w14:paraId="0D8D459E" w14:textId="77777777" w:rsidR="006A7ED2" w:rsidRPr="00BB3F78" w:rsidRDefault="006A7ED2" w:rsidP="006A7ED2">
      <w:pPr>
        <w:tabs>
          <w:tab w:val="clear" w:pos="708"/>
        </w:tabs>
        <w:jc w:val="left"/>
        <w:rPr>
          <w:b/>
          <w:bCs/>
          <w:color w:val="auto"/>
          <w:sz w:val="21"/>
          <w:szCs w:val="21"/>
        </w:rPr>
      </w:pPr>
      <w:r w:rsidRPr="00BB3F78">
        <w:rPr>
          <w:b/>
          <w:bCs/>
          <w:color w:val="auto"/>
          <w:sz w:val="21"/>
          <w:szCs w:val="21"/>
        </w:rPr>
        <w:t xml:space="preserve">  </w:t>
      </w:r>
    </w:p>
    <w:p w14:paraId="7FB46DF9" w14:textId="77777777" w:rsidR="006A7ED2" w:rsidRPr="00BB3F78" w:rsidRDefault="006A7ED2" w:rsidP="006A7ED2">
      <w:pPr>
        <w:tabs>
          <w:tab w:val="clear" w:pos="708"/>
        </w:tabs>
        <w:jc w:val="left"/>
        <w:rPr>
          <w:b/>
          <w:bCs/>
          <w:color w:val="auto"/>
          <w:sz w:val="21"/>
          <w:szCs w:val="21"/>
        </w:rPr>
      </w:pPr>
      <w:r w:rsidRPr="00BB3F78">
        <w:rPr>
          <w:b/>
          <w:bCs/>
          <w:color w:val="auto"/>
          <w:sz w:val="21"/>
          <w:szCs w:val="21"/>
        </w:rPr>
        <w:t xml:space="preserve">  МП</w:t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</w:r>
      <w:r w:rsidRPr="00BB3F78">
        <w:rPr>
          <w:b/>
          <w:bCs/>
          <w:color w:val="auto"/>
          <w:sz w:val="21"/>
          <w:szCs w:val="21"/>
        </w:rPr>
        <w:tab/>
        <w:t xml:space="preserve">   МП</w:t>
      </w:r>
      <w:r w:rsidRPr="00BB3F78">
        <w:rPr>
          <w:b/>
          <w:bCs/>
          <w:color w:val="auto"/>
          <w:sz w:val="21"/>
          <w:szCs w:val="21"/>
        </w:rPr>
        <w:tab/>
      </w:r>
    </w:p>
    <w:p w14:paraId="47EBF6C6" w14:textId="77777777" w:rsidR="006A7ED2" w:rsidRPr="00BB3F78" w:rsidRDefault="006A7ED2" w:rsidP="006A7ED2">
      <w:pPr>
        <w:shd w:val="clear" w:color="auto" w:fill="FFFFFF"/>
        <w:tabs>
          <w:tab w:val="clear" w:pos="708"/>
          <w:tab w:val="left" w:pos="4627"/>
        </w:tabs>
        <w:ind w:firstLine="720"/>
        <w:rPr>
          <w:color w:val="auto"/>
          <w:kern w:val="32"/>
          <w:sz w:val="21"/>
          <w:szCs w:val="21"/>
        </w:rPr>
      </w:pPr>
    </w:p>
    <w:p w14:paraId="13FCFF48" w14:textId="77777777" w:rsidR="001A10D2" w:rsidRDefault="001A10D2" w:rsidP="006A7ED2">
      <w:pPr>
        <w:spacing w:line="276" w:lineRule="auto"/>
        <w:jc w:val="center"/>
        <w:outlineLvl w:val="0"/>
      </w:pPr>
    </w:p>
    <w:sectPr w:rsidR="001A10D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0673" w14:textId="77777777" w:rsidR="006D7749" w:rsidRDefault="006D7749" w:rsidP="006014AC">
      <w:r>
        <w:separator/>
      </w:r>
    </w:p>
  </w:endnote>
  <w:endnote w:type="continuationSeparator" w:id="0">
    <w:p w14:paraId="094BDD7C" w14:textId="77777777" w:rsidR="006D7749" w:rsidRDefault="006D7749" w:rsidP="0060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663">
    <w:altName w:val="Times New Roman"/>
    <w:charset w:val="CC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9DC6" w14:textId="77777777" w:rsidR="006D7749" w:rsidRDefault="006D7749" w:rsidP="006014AC">
      <w:r>
        <w:separator/>
      </w:r>
    </w:p>
  </w:footnote>
  <w:footnote w:type="continuationSeparator" w:id="0">
    <w:p w14:paraId="04AE2672" w14:textId="77777777" w:rsidR="006D7749" w:rsidRDefault="006D7749" w:rsidP="0060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36955" w14:textId="10B61133" w:rsidR="006014AC" w:rsidRDefault="006014AC" w:rsidP="007D67D2">
    <w:pPr>
      <w:pStyle w:val="a8"/>
      <w:jc w:val="right"/>
    </w:pPr>
    <w:r>
      <w:t xml:space="preserve">Приложение № 1 к </w:t>
    </w:r>
    <w:r w:rsidR="007D67D2">
      <w:t>извещению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C4B56"/>
    <w:multiLevelType w:val="hybridMultilevel"/>
    <w:tmpl w:val="468E41CE"/>
    <w:lvl w:ilvl="0" w:tplc="CC44F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D1542"/>
    <w:multiLevelType w:val="hybridMultilevel"/>
    <w:tmpl w:val="F516D5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59667422">
    <w:abstractNumId w:val="0"/>
  </w:num>
  <w:num w:numId="2" w16cid:durableId="704057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0F"/>
    <w:rsid w:val="00020C4E"/>
    <w:rsid w:val="00031F2C"/>
    <w:rsid w:val="00052D95"/>
    <w:rsid w:val="0008620B"/>
    <w:rsid w:val="000D12A1"/>
    <w:rsid w:val="001A10D2"/>
    <w:rsid w:val="001D7071"/>
    <w:rsid w:val="002417E5"/>
    <w:rsid w:val="0024342F"/>
    <w:rsid w:val="00374307"/>
    <w:rsid w:val="003D46FC"/>
    <w:rsid w:val="00420623"/>
    <w:rsid w:val="00511E0F"/>
    <w:rsid w:val="005713F4"/>
    <w:rsid w:val="005A2663"/>
    <w:rsid w:val="006014AC"/>
    <w:rsid w:val="00620B5E"/>
    <w:rsid w:val="006457EB"/>
    <w:rsid w:val="00693F0D"/>
    <w:rsid w:val="006A7ED2"/>
    <w:rsid w:val="006C45F7"/>
    <w:rsid w:val="006D7749"/>
    <w:rsid w:val="006F77B4"/>
    <w:rsid w:val="0072403D"/>
    <w:rsid w:val="0073207E"/>
    <w:rsid w:val="00760A7E"/>
    <w:rsid w:val="0076369B"/>
    <w:rsid w:val="00764709"/>
    <w:rsid w:val="007D59F0"/>
    <w:rsid w:val="007D67D2"/>
    <w:rsid w:val="00857810"/>
    <w:rsid w:val="00891E05"/>
    <w:rsid w:val="008B77F7"/>
    <w:rsid w:val="008E2DE8"/>
    <w:rsid w:val="008F3E48"/>
    <w:rsid w:val="008F4BF4"/>
    <w:rsid w:val="00963926"/>
    <w:rsid w:val="0099410F"/>
    <w:rsid w:val="009B5FD8"/>
    <w:rsid w:val="009D2641"/>
    <w:rsid w:val="009E77BF"/>
    <w:rsid w:val="00A35D5D"/>
    <w:rsid w:val="00A53319"/>
    <w:rsid w:val="00A54A1C"/>
    <w:rsid w:val="00A725D5"/>
    <w:rsid w:val="00A91B2C"/>
    <w:rsid w:val="00AD44FF"/>
    <w:rsid w:val="00AE139A"/>
    <w:rsid w:val="00B05107"/>
    <w:rsid w:val="00D07250"/>
    <w:rsid w:val="00D11546"/>
    <w:rsid w:val="00D2420B"/>
    <w:rsid w:val="00D56E26"/>
    <w:rsid w:val="00DE2498"/>
    <w:rsid w:val="00E33985"/>
    <w:rsid w:val="00F76AC9"/>
    <w:rsid w:val="00F87DFE"/>
    <w:rsid w:val="00FA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5BC"/>
  <w15:chartTrackingRefBased/>
  <w15:docId w15:val="{7AE80D8A-1902-42FD-89F7-94DD12BB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E0F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11E0F"/>
    <w:pPr>
      <w:tabs>
        <w:tab w:val="clear" w:pos="708"/>
      </w:tabs>
      <w:spacing w:after="120"/>
      <w:ind w:left="283"/>
    </w:pPr>
    <w:rPr>
      <w:color w:val="auto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511E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511E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24">
    <w:name w:val="Font Style24"/>
    <w:rsid w:val="006457EB"/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1"/>
    <w:qFormat/>
    <w:rsid w:val="006457EB"/>
    <w:pPr>
      <w:tabs>
        <w:tab w:val="clear" w:pos="708"/>
      </w:tabs>
      <w:spacing w:after="60"/>
      <w:ind w:left="720"/>
      <w:contextualSpacing/>
    </w:pPr>
    <w:rPr>
      <w:color w:val="auto"/>
      <w:sz w:val="24"/>
      <w:szCs w:val="24"/>
    </w:rPr>
  </w:style>
  <w:style w:type="paragraph" w:customStyle="1" w:styleId="ConsPlusNonformat">
    <w:name w:val="ConsPlusNonformat"/>
    <w:rsid w:val="006457EB"/>
    <w:pPr>
      <w:widowControl w:val="0"/>
      <w:suppressAutoHyphens/>
      <w:spacing w:after="0" w:line="100" w:lineRule="atLeast"/>
    </w:pPr>
    <w:rPr>
      <w:rFonts w:ascii="Courier New" w:eastAsia="Lucida Sans Unicode" w:hAnsi="Courier New" w:cs="font663"/>
      <w:kern w:val="1"/>
      <w:sz w:val="20"/>
      <w:szCs w:val="20"/>
      <w:lang w:eastAsia="ar-SA"/>
    </w:rPr>
  </w:style>
  <w:style w:type="paragraph" w:customStyle="1" w:styleId="a7">
    <w:name w:val="Абзац"/>
    <w:rsid w:val="006457EB"/>
    <w:pPr>
      <w:widowControl w:val="0"/>
      <w:suppressAutoHyphens/>
      <w:spacing w:after="0" w:line="240" w:lineRule="auto"/>
      <w:ind w:left="397" w:right="284" w:firstLine="454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6014AC"/>
    <w:pPr>
      <w:tabs>
        <w:tab w:val="clear" w:pos="708"/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14AC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014AC"/>
    <w:pPr>
      <w:tabs>
        <w:tab w:val="clear" w:pos="708"/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14AC"/>
    <w:rPr>
      <w:rFonts w:ascii="Times New Roman" w:eastAsia="Times New Roman" w:hAnsi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Gurba</dc:creator>
  <cp:keywords/>
  <dc:description/>
  <cp:lastModifiedBy>User</cp:lastModifiedBy>
  <cp:revision>10</cp:revision>
  <dcterms:created xsi:type="dcterms:W3CDTF">2025-12-19T03:42:00Z</dcterms:created>
  <dcterms:modified xsi:type="dcterms:W3CDTF">2025-12-23T09:05:00Z</dcterms:modified>
</cp:coreProperties>
</file>